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FA3FB" w14:textId="77777777" w:rsidR="00AA54D8" w:rsidRDefault="00E86B5E">
      <w:pPr>
        <w:pStyle w:val="berschrift1"/>
        <w:tabs>
          <w:tab w:val="center" w:pos="7089"/>
        </w:tabs>
        <w:ind w:left="-15" w:firstLine="0"/>
      </w:pPr>
      <w:r>
        <w:t>SUPERVISION – Infoblatt</w:t>
      </w:r>
      <w:r>
        <w:rPr>
          <w:b w:val="0"/>
          <w:sz w:val="20"/>
        </w:rPr>
        <w:t xml:space="preserve"> </w:t>
      </w:r>
      <w:r>
        <w:rPr>
          <w:b w:val="0"/>
          <w:sz w:val="20"/>
        </w:rPr>
        <w:tab/>
        <w:t xml:space="preserve"> </w:t>
      </w:r>
    </w:p>
    <w:p w14:paraId="0292BFC9" w14:textId="77777777" w:rsidR="00AA54D8" w:rsidRDefault="00E86B5E">
      <w:pPr>
        <w:spacing w:after="91"/>
      </w:pPr>
      <w:r>
        <w:rPr>
          <w:rFonts w:ascii="Arial" w:eastAsia="Arial" w:hAnsi="Arial" w:cs="Arial"/>
          <w:b/>
          <w:color w:val="586B79"/>
          <w:sz w:val="20"/>
        </w:rPr>
        <w:t xml:space="preserve"> </w:t>
      </w:r>
    </w:p>
    <w:p w14:paraId="52D42F33" w14:textId="77777777" w:rsidR="00AA54D8" w:rsidRDefault="00E86B5E">
      <w:pPr>
        <w:spacing w:after="101" w:line="250" w:lineRule="auto"/>
        <w:ind w:left="-5" w:hanging="10"/>
      </w:pPr>
      <w:r>
        <w:rPr>
          <w:rFonts w:ascii="Arial" w:eastAsia="Arial" w:hAnsi="Arial" w:cs="Arial"/>
          <w:b/>
          <w:color w:val="586B79"/>
          <w:sz w:val="20"/>
        </w:rPr>
        <w:t>Supervision</w:t>
      </w:r>
      <w:r>
        <w:rPr>
          <w:rFonts w:ascii="Arial" w:eastAsia="Arial" w:hAnsi="Arial" w:cs="Arial"/>
          <w:color w:val="586B79"/>
          <w:sz w:val="20"/>
        </w:rPr>
        <w:t xml:space="preserve"> ist ein Instrument zur Förderung und Erhaltung der Arbeitsqualität. Sie kann begleitend zur Reflexion oder anlassbezogen eingesetzt werden und kommt häufig dann zur Anwendung, wenn die Situation im Arbeitskontext unbefriedigend oder belastend ist, es zu „Unstimmigkeiten“ kommt oder neue Aufgaben die Beteiligten vor Herausforderungen stellen. Supervision bietet die Möglichkeit im geschützten, vertraulichen Rahmen Themen anzusprechen und zu klären. Supervision findet im Einzel-, Team- oder Gruppensetting statt. </w:t>
      </w:r>
    </w:p>
    <w:p w14:paraId="3123A5AD" w14:textId="77777777" w:rsidR="00AA54D8" w:rsidRDefault="00E86B5E">
      <w:pPr>
        <w:spacing w:after="113"/>
      </w:pPr>
      <w:r>
        <w:rPr>
          <w:rFonts w:ascii="Arial" w:eastAsia="Arial" w:hAnsi="Arial" w:cs="Arial"/>
          <w:b/>
          <w:color w:val="586B79"/>
          <w:sz w:val="20"/>
        </w:rPr>
        <w:t xml:space="preserve"> </w:t>
      </w:r>
    </w:p>
    <w:p w14:paraId="3F97A8C7" w14:textId="77777777" w:rsidR="00AA54D8" w:rsidRDefault="00E86B5E">
      <w:pPr>
        <w:spacing w:after="75"/>
        <w:ind w:left="-5" w:hanging="10"/>
      </w:pPr>
      <w:r>
        <w:rPr>
          <w:rFonts w:ascii="Arial" w:eastAsia="Arial" w:hAnsi="Arial" w:cs="Arial"/>
          <w:b/>
          <w:color w:val="586B79"/>
        </w:rPr>
        <w:t xml:space="preserve">Im schulischen Kontext bietet Supervision folgende Möglichkeiten: </w:t>
      </w:r>
    </w:p>
    <w:p w14:paraId="3832A659" w14:textId="77777777" w:rsidR="00AA54D8" w:rsidRDefault="00E86B5E">
      <w:pPr>
        <w:numPr>
          <w:ilvl w:val="0"/>
          <w:numId w:val="1"/>
        </w:numPr>
        <w:spacing w:after="13" w:line="270" w:lineRule="auto"/>
        <w:ind w:hanging="360"/>
      </w:pPr>
      <w:r>
        <w:rPr>
          <w:rFonts w:ascii="Arial" w:eastAsia="Arial" w:hAnsi="Arial" w:cs="Arial"/>
          <w:sz w:val="20"/>
        </w:rPr>
        <w:t xml:space="preserve">Fallarbeit, </w:t>
      </w:r>
    </w:p>
    <w:p w14:paraId="0A2465D3" w14:textId="77777777" w:rsidR="00AA54D8" w:rsidRDefault="00E86B5E">
      <w:pPr>
        <w:numPr>
          <w:ilvl w:val="0"/>
          <w:numId w:val="1"/>
        </w:numPr>
        <w:spacing w:after="13" w:line="270" w:lineRule="auto"/>
        <w:ind w:hanging="360"/>
      </w:pPr>
      <w:r>
        <w:rPr>
          <w:rFonts w:ascii="Arial" w:eastAsia="Arial" w:hAnsi="Arial" w:cs="Arial"/>
          <w:sz w:val="20"/>
        </w:rPr>
        <w:t xml:space="preserve">Handlungsoptionen erweitern, </w:t>
      </w:r>
    </w:p>
    <w:p w14:paraId="3162F9B0" w14:textId="77777777" w:rsidR="00AA54D8" w:rsidRDefault="00E86B5E">
      <w:pPr>
        <w:numPr>
          <w:ilvl w:val="0"/>
          <w:numId w:val="1"/>
        </w:numPr>
        <w:spacing w:after="13" w:line="270" w:lineRule="auto"/>
        <w:ind w:hanging="360"/>
      </w:pPr>
      <w:r>
        <w:rPr>
          <w:rFonts w:ascii="Arial" w:eastAsia="Arial" w:hAnsi="Arial" w:cs="Arial"/>
          <w:sz w:val="20"/>
        </w:rPr>
        <w:t xml:space="preserve">Ressourcen im Lehrkörper fördern, </w:t>
      </w:r>
    </w:p>
    <w:p w14:paraId="3D11AAF5" w14:textId="77777777" w:rsidR="00AA54D8" w:rsidRDefault="00E86B5E">
      <w:pPr>
        <w:numPr>
          <w:ilvl w:val="0"/>
          <w:numId w:val="1"/>
        </w:numPr>
        <w:spacing w:after="13" w:line="270" w:lineRule="auto"/>
        <w:ind w:hanging="360"/>
      </w:pPr>
      <w:r>
        <w:rPr>
          <w:rFonts w:ascii="Arial" w:eastAsia="Arial" w:hAnsi="Arial" w:cs="Arial"/>
          <w:sz w:val="20"/>
        </w:rPr>
        <w:t xml:space="preserve">Rollen, Aufgaben und Verantwortlichkeiten (neu) klären, </w:t>
      </w:r>
    </w:p>
    <w:p w14:paraId="69D8408F" w14:textId="77777777" w:rsidR="00AA54D8" w:rsidRDefault="00E86B5E">
      <w:pPr>
        <w:numPr>
          <w:ilvl w:val="0"/>
          <w:numId w:val="1"/>
        </w:numPr>
        <w:spacing w:after="13" w:line="270" w:lineRule="auto"/>
        <w:ind w:hanging="360"/>
      </w:pPr>
      <w:r>
        <w:rPr>
          <w:rFonts w:ascii="Arial" w:eastAsia="Arial" w:hAnsi="Arial" w:cs="Arial"/>
          <w:sz w:val="20"/>
        </w:rPr>
        <w:t xml:space="preserve">Perspektiven zu erweitern und Lösungen erarbeiten, </w:t>
      </w:r>
    </w:p>
    <w:p w14:paraId="283199B3" w14:textId="77777777" w:rsidR="00AA54D8" w:rsidRDefault="00E86B5E">
      <w:pPr>
        <w:numPr>
          <w:ilvl w:val="0"/>
          <w:numId w:val="1"/>
        </w:numPr>
        <w:spacing w:after="13" w:line="270" w:lineRule="auto"/>
        <w:ind w:hanging="360"/>
      </w:pPr>
      <w:r>
        <w:rPr>
          <w:rFonts w:ascii="Arial" w:eastAsia="Arial" w:hAnsi="Arial" w:cs="Arial"/>
          <w:sz w:val="20"/>
        </w:rPr>
        <w:t xml:space="preserve">durch den gemeinsamen Prozess das berufliche Miteinander fördern und damit die persönliche Befindlichkeit der Beteiligten verbessern. </w:t>
      </w:r>
    </w:p>
    <w:p w14:paraId="11E22326" w14:textId="77777777" w:rsidR="00AA54D8" w:rsidRDefault="00E86B5E">
      <w:pPr>
        <w:spacing w:after="144"/>
        <w:ind w:left="360"/>
      </w:pPr>
      <w:r>
        <w:rPr>
          <w:rFonts w:ascii="Arial" w:eastAsia="Arial" w:hAnsi="Arial" w:cs="Arial"/>
          <w:sz w:val="20"/>
        </w:rPr>
        <w:t xml:space="preserve"> </w:t>
      </w:r>
    </w:p>
    <w:p w14:paraId="2B6B2858" w14:textId="77777777" w:rsidR="00AA54D8" w:rsidRDefault="00E86B5E">
      <w:pPr>
        <w:pStyle w:val="berschrift1"/>
        <w:ind w:left="-5"/>
      </w:pPr>
      <w:r>
        <w:t xml:space="preserve">Richtlinien für die Antragstellung </w:t>
      </w:r>
    </w:p>
    <w:p w14:paraId="48F79302" w14:textId="77777777" w:rsidR="00AA54D8" w:rsidRDefault="00E86B5E">
      <w:pPr>
        <w:numPr>
          <w:ilvl w:val="0"/>
          <w:numId w:val="2"/>
        </w:numPr>
        <w:spacing w:after="13" w:line="270" w:lineRule="auto"/>
        <w:ind w:hanging="360"/>
      </w:pPr>
      <w:r>
        <w:rPr>
          <w:noProof/>
        </w:rPr>
        <mc:AlternateContent>
          <mc:Choice Requires="wpg">
            <w:drawing>
              <wp:anchor distT="0" distB="0" distL="114300" distR="114300" simplePos="0" relativeHeight="251658240" behindDoc="0" locked="0" layoutInCell="1" allowOverlap="1" wp14:anchorId="04A38C57" wp14:editId="114B9962">
                <wp:simplePos x="0" y="0"/>
                <wp:positionH relativeFrom="page">
                  <wp:posOffset>719328</wp:posOffset>
                </wp:positionH>
                <wp:positionV relativeFrom="page">
                  <wp:posOffset>1</wp:posOffset>
                </wp:positionV>
                <wp:extent cx="6119622" cy="1616710"/>
                <wp:effectExtent l="0" t="0" r="0" b="0"/>
                <wp:wrapTopAndBottom/>
                <wp:docPr id="1068" name="Group 1068"/>
                <wp:cNvGraphicFramePr/>
                <a:graphic xmlns:a="http://schemas.openxmlformats.org/drawingml/2006/main">
                  <a:graphicData uri="http://schemas.microsoft.com/office/word/2010/wordprocessingGroup">
                    <wpg:wgp>
                      <wpg:cNvGrpSpPr/>
                      <wpg:grpSpPr>
                        <a:xfrm>
                          <a:off x="0" y="0"/>
                          <a:ext cx="6119622" cy="1616710"/>
                          <a:chOff x="0" y="0"/>
                          <a:chExt cx="6119622" cy="1616710"/>
                        </a:xfrm>
                      </wpg:grpSpPr>
                      <pic:pic xmlns:pic="http://schemas.openxmlformats.org/drawingml/2006/picture">
                        <pic:nvPicPr>
                          <pic:cNvPr id="7" name="Picture 7"/>
                          <pic:cNvPicPr/>
                        </pic:nvPicPr>
                        <pic:blipFill>
                          <a:blip r:embed="rId5"/>
                          <a:stretch>
                            <a:fillRect/>
                          </a:stretch>
                        </pic:blipFill>
                        <pic:spPr>
                          <a:xfrm>
                            <a:off x="3302" y="0"/>
                            <a:ext cx="6116320" cy="1616710"/>
                          </a:xfrm>
                          <a:prstGeom prst="rect">
                            <a:avLst/>
                          </a:prstGeom>
                        </pic:spPr>
                      </pic:pic>
                      <wps:wsp>
                        <wps:cNvPr id="10" name="Rectangle 10"/>
                        <wps:cNvSpPr/>
                        <wps:spPr>
                          <a:xfrm>
                            <a:off x="0" y="481054"/>
                            <a:ext cx="65640" cy="181742"/>
                          </a:xfrm>
                          <a:prstGeom prst="rect">
                            <a:avLst/>
                          </a:prstGeom>
                          <a:ln>
                            <a:noFill/>
                          </a:ln>
                        </wps:spPr>
                        <wps:txbx>
                          <w:txbxContent>
                            <w:p w14:paraId="71BFE1D2" w14:textId="77777777" w:rsidR="00AA54D8" w:rsidRDefault="00E86B5E">
                              <w:r>
                                <w:rPr>
                                  <w:rFonts w:ascii="Verdana" w:eastAsia="Verdana" w:hAnsi="Verdana" w:cs="Verdana"/>
                                  <w:color w:val="586B79"/>
                                </w:rPr>
                                <w:t xml:space="preserve"> </w:t>
                              </w:r>
                            </w:p>
                          </w:txbxContent>
                        </wps:txbx>
                        <wps:bodyPr horzOverflow="overflow" vert="horz" lIns="0" tIns="0" rIns="0" bIns="0" rtlCol="0">
                          <a:noAutofit/>
                        </wps:bodyPr>
                      </wps:wsp>
                    </wpg:wgp>
                  </a:graphicData>
                </a:graphic>
              </wp:anchor>
            </w:drawing>
          </mc:Choice>
          <mc:Fallback xmlns:a="http://schemas.openxmlformats.org/drawingml/2006/main" xmlns:w16sdtdh="http://schemas.microsoft.com/office/word/2020/wordml/sdtdatahash">
            <w:pict>
              <v:group id="Group 1068" style="width:481.86pt;height:127.3pt;position:absolute;mso-position-horizontal-relative:page;mso-position-horizontal:absolute;margin-left:56.64pt;mso-position-vertical-relative:page;margin-top:4.57764e-05pt;" coordsize="61196,16167">
                <v:shape id="Picture 7" style="position:absolute;width:61163;height:16167;left:33;top:0;" filled="f">
                  <v:imagedata r:id="rId6"/>
                </v:shape>
                <v:rect id="Rectangle 10" style="position:absolute;width:656;height:1817;left:0;top:4810;" filled="f" stroked="f">
                  <v:textbox inset="0,0,0,0">
                    <w:txbxContent>
                      <w:p>
                        <w:pPr>
                          <w:spacing w:before="0" w:after="160" w:line="259" w:lineRule="auto"/>
                        </w:pPr>
                        <w:r>
                          <w:rPr>
                            <w:rFonts w:cs="Verdana" w:hAnsi="Verdana" w:eastAsia="Verdana" w:ascii="Verdana"/>
                            <w:color w:val="586b79"/>
                            <w:sz w:val="22"/>
                          </w:rPr>
                          <w:t xml:space="preserve"> </w:t>
                        </w:r>
                      </w:p>
                    </w:txbxContent>
                  </v:textbox>
                </v:rect>
                <w10:wrap type="topAndBottom"/>
              </v:group>
            </w:pict>
          </mc:Fallback>
        </mc:AlternateContent>
      </w:r>
      <w:r>
        <w:rPr>
          <w:noProof/>
        </w:rPr>
        <mc:AlternateContent>
          <mc:Choice Requires="wpg">
            <w:drawing>
              <wp:anchor distT="0" distB="0" distL="114300" distR="114300" simplePos="0" relativeHeight="251659264" behindDoc="0" locked="0" layoutInCell="1" allowOverlap="1" wp14:anchorId="1C480BC9" wp14:editId="12F8E6EE">
                <wp:simplePos x="0" y="0"/>
                <wp:positionH relativeFrom="page">
                  <wp:posOffset>719328</wp:posOffset>
                </wp:positionH>
                <wp:positionV relativeFrom="page">
                  <wp:posOffset>9528809</wp:posOffset>
                </wp:positionV>
                <wp:extent cx="6119622" cy="1151255"/>
                <wp:effectExtent l="0" t="0" r="0" b="0"/>
                <wp:wrapTopAndBottom/>
                <wp:docPr id="1069" name="Group 1069"/>
                <wp:cNvGraphicFramePr/>
                <a:graphic xmlns:a="http://schemas.openxmlformats.org/drawingml/2006/main">
                  <a:graphicData uri="http://schemas.microsoft.com/office/word/2010/wordprocessingGroup">
                    <wpg:wgp>
                      <wpg:cNvGrpSpPr/>
                      <wpg:grpSpPr>
                        <a:xfrm>
                          <a:off x="0" y="0"/>
                          <a:ext cx="6119622" cy="1151255"/>
                          <a:chOff x="0" y="0"/>
                          <a:chExt cx="6119622" cy="1151255"/>
                        </a:xfrm>
                      </wpg:grpSpPr>
                      <pic:pic xmlns:pic="http://schemas.openxmlformats.org/drawingml/2006/picture">
                        <pic:nvPicPr>
                          <pic:cNvPr id="9" name="Picture 9"/>
                          <pic:cNvPicPr/>
                        </pic:nvPicPr>
                        <pic:blipFill>
                          <a:blip r:embed="rId7"/>
                          <a:stretch>
                            <a:fillRect/>
                          </a:stretch>
                        </pic:blipFill>
                        <pic:spPr>
                          <a:xfrm>
                            <a:off x="3302" y="0"/>
                            <a:ext cx="6116320" cy="1151255"/>
                          </a:xfrm>
                          <a:prstGeom prst="rect">
                            <a:avLst/>
                          </a:prstGeom>
                        </pic:spPr>
                      </pic:pic>
                      <wps:wsp>
                        <wps:cNvPr id="11" name="Rectangle 11"/>
                        <wps:cNvSpPr/>
                        <wps:spPr>
                          <a:xfrm>
                            <a:off x="0" y="495229"/>
                            <a:ext cx="65640" cy="181742"/>
                          </a:xfrm>
                          <a:prstGeom prst="rect">
                            <a:avLst/>
                          </a:prstGeom>
                          <a:ln>
                            <a:noFill/>
                          </a:ln>
                        </wps:spPr>
                        <wps:txbx>
                          <w:txbxContent>
                            <w:p w14:paraId="67A32525" w14:textId="77777777" w:rsidR="00AA54D8" w:rsidRDefault="00E86B5E">
                              <w:r>
                                <w:rPr>
                                  <w:rFonts w:ascii="Verdana" w:eastAsia="Verdana" w:hAnsi="Verdana" w:cs="Verdana"/>
                                  <w:color w:val="586B79"/>
                                </w:rPr>
                                <w:t xml:space="preserve"> </w:t>
                              </w:r>
                            </w:p>
                          </w:txbxContent>
                        </wps:txbx>
                        <wps:bodyPr horzOverflow="overflow" vert="horz" lIns="0" tIns="0" rIns="0" bIns="0" rtlCol="0">
                          <a:noAutofit/>
                        </wps:bodyPr>
                      </wps:wsp>
                    </wpg:wgp>
                  </a:graphicData>
                </a:graphic>
              </wp:anchor>
            </w:drawing>
          </mc:Choice>
          <mc:Fallback xmlns:a="http://schemas.openxmlformats.org/drawingml/2006/main" xmlns:w16sdtdh="http://schemas.microsoft.com/office/word/2020/wordml/sdtdatahash">
            <w:pict>
              <v:group id="Group 1069" style="width:481.86pt;height:90.65pt;position:absolute;mso-position-horizontal-relative:page;mso-position-horizontal:absolute;margin-left:56.64pt;mso-position-vertical-relative:page;margin-top:750.3pt;" coordsize="61196,11512">
                <v:shape id="Picture 9" style="position:absolute;width:61163;height:11512;left:33;top:0;" filled="f">
                  <v:imagedata r:id="rId8"/>
                </v:shape>
                <v:rect id="Rectangle 11" style="position:absolute;width:656;height:1817;left:0;top:4952;" filled="f" stroked="f">
                  <v:textbox inset="0,0,0,0">
                    <w:txbxContent>
                      <w:p>
                        <w:pPr>
                          <w:spacing w:before="0" w:after="160" w:line="259" w:lineRule="auto"/>
                        </w:pPr>
                        <w:r>
                          <w:rPr>
                            <w:rFonts w:cs="Verdana" w:hAnsi="Verdana" w:eastAsia="Verdana" w:ascii="Verdana"/>
                            <w:color w:val="586b79"/>
                            <w:sz w:val="22"/>
                          </w:rPr>
                          <w:t xml:space="preserve"> </w:t>
                        </w:r>
                      </w:p>
                    </w:txbxContent>
                  </v:textbox>
                </v:rect>
                <w10:wrap type="topAndBottom"/>
              </v:group>
            </w:pict>
          </mc:Fallback>
        </mc:AlternateContent>
      </w:r>
      <w:r>
        <w:rPr>
          <w:rFonts w:ascii="Arial" w:eastAsia="Arial" w:hAnsi="Arial" w:cs="Arial"/>
          <w:sz w:val="20"/>
        </w:rPr>
        <w:t xml:space="preserve">Unterstützung nach Dringlichkeit des Anliegens </w:t>
      </w:r>
    </w:p>
    <w:p w14:paraId="5CCF81CD" w14:textId="77777777" w:rsidR="00AA54D8" w:rsidRDefault="00E86B5E">
      <w:pPr>
        <w:numPr>
          <w:ilvl w:val="0"/>
          <w:numId w:val="2"/>
        </w:numPr>
        <w:spacing w:after="13" w:line="270" w:lineRule="auto"/>
        <w:ind w:hanging="360"/>
      </w:pPr>
      <w:r>
        <w:rPr>
          <w:rFonts w:ascii="Arial" w:eastAsia="Arial" w:hAnsi="Arial" w:cs="Arial"/>
          <w:sz w:val="20"/>
        </w:rPr>
        <w:t xml:space="preserve">Mindestteilnehmerzahl 10 Personen </w:t>
      </w:r>
    </w:p>
    <w:p w14:paraId="1FB379A7" w14:textId="77777777" w:rsidR="00AA54D8" w:rsidRDefault="00E86B5E">
      <w:pPr>
        <w:numPr>
          <w:ilvl w:val="0"/>
          <w:numId w:val="2"/>
        </w:numPr>
        <w:spacing w:after="13" w:line="270" w:lineRule="auto"/>
        <w:ind w:hanging="360"/>
      </w:pPr>
      <w:r>
        <w:rPr>
          <w:rFonts w:ascii="Arial" w:eastAsia="Arial" w:hAnsi="Arial" w:cs="Arial"/>
          <w:sz w:val="20"/>
        </w:rPr>
        <w:t xml:space="preserve">Supervisor/in aus der Liste auswählen oder mit der PH OÖ abklären </w:t>
      </w:r>
    </w:p>
    <w:p w14:paraId="434ECFE3" w14:textId="77777777" w:rsidR="00AA54D8" w:rsidRDefault="00E86B5E">
      <w:pPr>
        <w:spacing w:after="233"/>
        <w:ind w:left="360"/>
      </w:pPr>
      <w:r>
        <w:rPr>
          <w:rFonts w:ascii="Arial" w:eastAsia="Arial" w:hAnsi="Arial" w:cs="Arial"/>
          <w:sz w:val="20"/>
        </w:rPr>
        <w:t xml:space="preserve"> </w:t>
      </w:r>
    </w:p>
    <w:p w14:paraId="418A1799" w14:textId="77777777" w:rsidR="00AA54D8" w:rsidRDefault="00E86B5E">
      <w:pPr>
        <w:pStyle w:val="berschrift1"/>
        <w:ind w:left="-5"/>
      </w:pPr>
      <w:r>
        <w:t xml:space="preserve">Schritte zur Abwicklung </w:t>
      </w:r>
    </w:p>
    <w:p w14:paraId="69B82424" w14:textId="77777777" w:rsidR="00AA54D8" w:rsidRDefault="00E86B5E">
      <w:pPr>
        <w:numPr>
          <w:ilvl w:val="0"/>
          <w:numId w:val="3"/>
        </w:numPr>
        <w:spacing w:after="13" w:line="270" w:lineRule="auto"/>
        <w:ind w:hanging="360"/>
      </w:pPr>
      <w:r>
        <w:rPr>
          <w:rFonts w:ascii="Arial" w:eastAsia="Arial" w:hAnsi="Arial" w:cs="Arial"/>
          <w:sz w:val="20"/>
        </w:rPr>
        <w:t xml:space="preserve">Antrag bitte per Mail an Frau </w:t>
      </w:r>
      <w:r>
        <w:rPr>
          <w:rFonts w:ascii="Arial" w:eastAsia="Arial" w:hAnsi="Arial" w:cs="Arial"/>
          <w:color w:val="0000FF"/>
          <w:sz w:val="20"/>
          <w:u w:val="single" w:color="0000FF"/>
        </w:rPr>
        <w:t>ingeborg.harzer@ph-ooe.at</w:t>
      </w:r>
      <w:r>
        <w:rPr>
          <w:rFonts w:ascii="Arial" w:eastAsia="Arial" w:hAnsi="Arial" w:cs="Arial"/>
          <w:sz w:val="20"/>
        </w:rPr>
        <w:t xml:space="preserve"> </w:t>
      </w:r>
    </w:p>
    <w:p w14:paraId="584F77EE" w14:textId="77777777" w:rsidR="00AA54D8" w:rsidRDefault="00E86B5E">
      <w:pPr>
        <w:numPr>
          <w:ilvl w:val="0"/>
          <w:numId w:val="3"/>
        </w:numPr>
        <w:spacing w:after="13" w:line="270" w:lineRule="auto"/>
        <w:ind w:hanging="360"/>
      </w:pPr>
      <w:r>
        <w:rPr>
          <w:rFonts w:ascii="Arial" w:eastAsia="Arial" w:hAnsi="Arial" w:cs="Arial"/>
          <w:sz w:val="20"/>
        </w:rPr>
        <w:t xml:space="preserve">Bei Genehmigung bekommen Sie die Formulare und Kursnummer zugesandt. </w:t>
      </w:r>
    </w:p>
    <w:p w14:paraId="7BB8D327" w14:textId="77777777" w:rsidR="00AA54D8" w:rsidRDefault="00E86B5E">
      <w:pPr>
        <w:numPr>
          <w:ilvl w:val="0"/>
          <w:numId w:val="3"/>
        </w:numPr>
        <w:spacing w:after="13" w:line="270" w:lineRule="auto"/>
        <w:ind w:hanging="360"/>
      </w:pPr>
      <w:r>
        <w:rPr>
          <w:rFonts w:ascii="Arial" w:eastAsia="Arial" w:hAnsi="Arial" w:cs="Arial"/>
          <w:sz w:val="20"/>
        </w:rPr>
        <w:t xml:space="preserve">Supervisionen werden nach Honorarsatz II abgegolten. </w:t>
      </w:r>
    </w:p>
    <w:p w14:paraId="7C897C5F" w14:textId="77777777" w:rsidR="00AA54D8" w:rsidRDefault="00E86B5E">
      <w:pPr>
        <w:numPr>
          <w:ilvl w:val="0"/>
          <w:numId w:val="3"/>
        </w:numPr>
        <w:spacing w:after="13" w:line="270" w:lineRule="auto"/>
        <w:ind w:hanging="360"/>
      </w:pPr>
      <w:r>
        <w:rPr>
          <w:rFonts w:ascii="Arial" w:eastAsia="Arial" w:hAnsi="Arial" w:cs="Arial"/>
          <w:sz w:val="20"/>
        </w:rPr>
        <w:t xml:space="preserve">Abrechnung: Supervision bitte am Ende jeden Semesters abrechnen. Schicken Sie dazu die Formulare mit der Kursnummer (Anwesenheitsliste, Honorarnote, Kursbericht) im Original an: Ingeborg Harzer, Institut Fortbildung und Schulentwicklung I, Kaplanhofstr. 40, 4020 Linz </w:t>
      </w:r>
    </w:p>
    <w:p w14:paraId="4175366F" w14:textId="77777777" w:rsidR="00AA54D8" w:rsidRDefault="00E86B5E">
      <w:pPr>
        <w:spacing w:after="213"/>
        <w:ind w:left="360"/>
      </w:pPr>
      <w:r>
        <w:rPr>
          <w:rFonts w:ascii="Arial" w:eastAsia="Arial" w:hAnsi="Arial" w:cs="Arial"/>
          <w:sz w:val="20"/>
        </w:rPr>
        <w:t xml:space="preserve"> </w:t>
      </w:r>
    </w:p>
    <w:p w14:paraId="48B605C8" w14:textId="77777777" w:rsidR="00AA54D8" w:rsidRDefault="00E86B5E">
      <w:pPr>
        <w:spacing w:after="209"/>
      </w:pPr>
      <w:r>
        <w:rPr>
          <w:rFonts w:ascii="Arial" w:eastAsia="Arial" w:hAnsi="Arial" w:cs="Arial"/>
          <w:b/>
          <w:color w:val="586B79"/>
          <w:sz w:val="20"/>
          <w:u w:val="single" w:color="586B79"/>
        </w:rPr>
        <w:t>Für Fragen und Anliegen stehen wir Ihnen gerne zur Verfügung:</w:t>
      </w:r>
      <w:r>
        <w:rPr>
          <w:rFonts w:ascii="Arial" w:eastAsia="Arial" w:hAnsi="Arial" w:cs="Arial"/>
          <w:b/>
          <w:color w:val="586B79"/>
          <w:sz w:val="20"/>
        </w:rPr>
        <w:t xml:space="preserve"> </w:t>
      </w:r>
    </w:p>
    <w:p w14:paraId="0A08B21C" w14:textId="77777777" w:rsidR="00AA54D8" w:rsidRDefault="00E86B5E">
      <w:pPr>
        <w:spacing w:after="207"/>
      </w:pPr>
      <w:r>
        <w:rPr>
          <w:rFonts w:ascii="Arial" w:eastAsia="Arial" w:hAnsi="Arial" w:cs="Arial"/>
          <w:b/>
          <w:color w:val="586B79"/>
          <w:sz w:val="20"/>
        </w:rPr>
        <w:t xml:space="preserve">Institut Fortbildung und Schulentwicklung I: </w:t>
      </w:r>
    </w:p>
    <w:p w14:paraId="0AA59798" w14:textId="77777777" w:rsidR="00AA54D8" w:rsidRDefault="00E86B5E">
      <w:pPr>
        <w:spacing w:after="101" w:line="250" w:lineRule="auto"/>
        <w:ind w:left="-5" w:hanging="10"/>
      </w:pPr>
      <w:r>
        <w:rPr>
          <w:rFonts w:ascii="Arial" w:eastAsia="Arial" w:hAnsi="Arial" w:cs="Arial"/>
          <w:b/>
          <w:color w:val="586B79"/>
          <w:sz w:val="20"/>
        </w:rPr>
        <w:t>Formelle Anliegen:</w:t>
      </w:r>
      <w:r>
        <w:rPr>
          <w:rFonts w:ascii="Arial" w:eastAsia="Arial" w:hAnsi="Arial" w:cs="Arial"/>
          <w:color w:val="586B79"/>
          <w:sz w:val="20"/>
        </w:rPr>
        <w:t xml:space="preserve"> Ingeborg Harzer, 0732/ 74 70 – 7182, </w:t>
      </w:r>
      <w:r>
        <w:rPr>
          <w:rFonts w:ascii="Arial" w:eastAsia="Arial" w:hAnsi="Arial" w:cs="Arial"/>
          <w:color w:val="800080"/>
          <w:sz w:val="20"/>
          <w:u w:val="single" w:color="800080"/>
        </w:rPr>
        <w:t>ingeborg.harzer@ph-ooe.at</w:t>
      </w:r>
      <w:r>
        <w:rPr>
          <w:rFonts w:ascii="Arial" w:eastAsia="Arial" w:hAnsi="Arial" w:cs="Arial"/>
          <w:color w:val="0000FF"/>
          <w:sz w:val="20"/>
        </w:rPr>
        <w:t xml:space="preserve"> </w:t>
      </w:r>
    </w:p>
    <w:p w14:paraId="0C45F0BC" w14:textId="5B81D2A4" w:rsidR="0056799B" w:rsidRDefault="00E86B5E" w:rsidP="0056799B">
      <w:pPr>
        <w:rPr>
          <w:rFonts w:ascii="Arial" w:eastAsia="Arial" w:hAnsi="Arial" w:cs="Arial"/>
          <w:color w:val="586B79"/>
          <w:sz w:val="20"/>
        </w:rPr>
      </w:pPr>
      <w:r>
        <w:rPr>
          <w:rFonts w:ascii="Arial" w:eastAsia="Arial" w:hAnsi="Arial" w:cs="Arial"/>
          <w:b/>
          <w:color w:val="586B79"/>
          <w:sz w:val="20"/>
        </w:rPr>
        <w:t>Fragen zur Supervision:</w:t>
      </w:r>
      <w:r>
        <w:rPr>
          <w:rFonts w:ascii="Arial" w:eastAsia="Arial" w:hAnsi="Arial" w:cs="Arial"/>
          <w:color w:val="586B79"/>
          <w:sz w:val="20"/>
        </w:rPr>
        <w:t xml:space="preserve"> </w:t>
      </w:r>
      <w:r w:rsidR="0056799B">
        <w:rPr>
          <w:rFonts w:ascii="Arial" w:eastAsia="Arial" w:hAnsi="Arial" w:cs="Arial"/>
          <w:color w:val="586B79"/>
          <w:sz w:val="20"/>
        </w:rPr>
        <w:t xml:space="preserve">Mag. Dr. Helene Feichter </w:t>
      </w:r>
      <w:proofErr w:type="spellStart"/>
      <w:r w:rsidR="0056799B">
        <w:rPr>
          <w:rFonts w:ascii="Arial" w:eastAsia="Arial" w:hAnsi="Arial" w:cs="Arial"/>
          <w:color w:val="586B79"/>
          <w:sz w:val="20"/>
        </w:rPr>
        <w:t>BEd</w:t>
      </w:r>
      <w:proofErr w:type="spellEnd"/>
      <w:r>
        <w:rPr>
          <w:rFonts w:ascii="Arial" w:eastAsia="Arial" w:hAnsi="Arial" w:cs="Arial"/>
          <w:color w:val="586B79"/>
          <w:sz w:val="20"/>
        </w:rPr>
        <w:t xml:space="preserve">, </w:t>
      </w:r>
      <w:r w:rsidR="0056799B" w:rsidRPr="0056799B">
        <w:rPr>
          <w:rFonts w:ascii="Arial" w:eastAsia="Arial" w:hAnsi="Arial" w:cs="Arial"/>
          <w:color w:val="586B79"/>
          <w:sz w:val="20"/>
        </w:rPr>
        <w:t>0</w:t>
      </w:r>
      <w:r w:rsidR="0056799B" w:rsidRPr="0056799B">
        <w:rPr>
          <w:rFonts w:ascii="Arial" w:eastAsia="Arial" w:hAnsi="Arial" w:cs="Arial"/>
          <w:color w:val="586B79"/>
          <w:sz w:val="20"/>
        </w:rPr>
        <w:t>732</w:t>
      </w:r>
      <w:r w:rsidR="0056799B" w:rsidRPr="0056799B">
        <w:rPr>
          <w:rFonts w:ascii="Arial" w:eastAsia="Arial" w:hAnsi="Arial" w:cs="Arial"/>
          <w:color w:val="586B79"/>
          <w:sz w:val="20"/>
        </w:rPr>
        <w:t>/</w:t>
      </w:r>
      <w:r w:rsidR="0056799B" w:rsidRPr="0056799B">
        <w:rPr>
          <w:rFonts w:ascii="Arial" w:eastAsia="Arial" w:hAnsi="Arial" w:cs="Arial"/>
          <w:color w:val="586B79"/>
          <w:sz w:val="20"/>
        </w:rPr>
        <w:t xml:space="preserve"> 74</w:t>
      </w:r>
      <w:r w:rsidR="0056799B">
        <w:rPr>
          <w:rFonts w:ascii="Arial" w:eastAsia="Arial" w:hAnsi="Arial" w:cs="Arial"/>
          <w:color w:val="586B79"/>
          <w:sz w:val="20"/>
        </w:rPr>
        <w:t xml:space="preserve"> </w:t>
      </w:r>
      <w:r w:rsidR="0056799B" w:rsidRPr="0056799B">
        <w:rPr>
          <w:rFonts w:ascii="Arial" w:eastAsia="Arial" w:hAnsi="Arial" w:cs="Arial"/>
          <w:color w:val="586B79"/>
          <w:sz w:val="20"/>
        </w:rPr>
        <w:t xml:space="preserve">70 </w:t>
      </w:r>
      <w:r w:rsidR="0056799B" w:rsidRPr="0056799B">
        <w:rPr>
          <w:rFonts w:ascii="Arial" w:eastAsia="Arial" w:hAnsi="Arial" w:cs="Arial"/>
          <w:color w:val="586B79"/>
          <w:sz w:val="20"/>
        </w:rPr>
        <w:t xml:space="preserve">– </w:t>
      </w:r>
      <w:r w:rsidR="0056799B" w:rsidRPr="0056799B">
        <w:rPr>
          <w:rFonts w:ascii="Arial" w:eastAsia="Arial" w:hAnsi="Arial" w:cs="Arial"/>
          <w:color w:val="586B79"/>
          <w:sz w:val="20"/>
        </w:rPr>
        <w:t>7456</w:t>
      </w:r>
      <w:r>
        <w:rPr>
          <w:rFonts w:ascii="Arial" w:eastAsia="Arial" w:hAnsi="Arial" w:cs="Arial"/>
          <w:color w:val="586B79"/>
          <w:sz w:val="20"/>
        </w:rPr>
        <w:t>,</w:t>
      </w:r>
      <w:r w:rsidR="0056799B">
        <w:rPr>
          <w:rFonts w:ascii="Arial" w:eastAsia="Arial" w:hAnsi="Arial" w:cs="Arial"/>
          <w:color w:val="586B79"/>
          <w:sz w:val="20"/>
        </w:rPr>
        <w:t xml:space="preserve"> </w:t>
      </w:r>
      <w:hyperlink r:id="rId9" w:history="1">
        <w:r w:rsidR="0056799B" w:rsidRPr="000716F7">
          <w:rPr>
            <w:rStyle w:val="Hyperlink"/>
            <w:rFonts w:ascii="Arial" w:eastAsia="Arial" w:hAnsi="Arial" w:cs="Arial"/>
            <w:sz w:val="20"/>
          </w:rPr>
          <w:t>helene.feichter@ph-ooe.at</w:t>
        </w:r>
      </w:hyperlink>
    </w:p>
    <w:p w14:paraId="245968AD" w14:textId="77777777" w:rsidR="0056799B" w:rsidRDefault="0056799B" w:rsidP="0056799B">
      <w:pPr>
        <w:rPr>
          <w:rFonts w:ascii="Arial" w:eastAsia="Arial" w:hAnsi="Arial" w:cs="Arial"/>
          <w:color w:val="586B79"/>
          <w:sz w:val="20"/>
        </w:rPr>
      </w:pPr>
    </w:p>
    <w:p w14:paraId="0DB55745" w14:textId="1407DA14" w:rsidR="00AA54D8" w:rsidRPr="0056799B" w:rsidRDefault="00E86B5E" w:rsidP="0056799B">
      <w:pPr>
        <w:rPr>
          <w:rFonts w:ascii="Times New Roman" w:eastAsia="Times New Roman" w:hAnsi="Times New Roman" w:cs="Times New Roman"/>
          <w:color w:val="auto"/>
          <w:sz w:val="24"/>
          <w:szCs w:val="24"/>
          <w:lang w:eastAsia="de-DE"/>
        </w:rPr>
      </w:pPr>
      <w:r>
        <w:rPr>
          <w:rFonts w:ascii="Arial" w:eastAsia="Arial" w:hAnsi="Arial" w:cs="Arial"/>
          <w:color w:val="586B79"/>
          <w:sz w:val="20"/>
        </w:rPr>
        <w:t xml:space="preserve"> </w:t>
      </w:r>
    </w:p>
    <w:p w14:paraId="6F0DEF55" w14:textId="44BA4AED" w:rsidR="00AA54D8" w:rsidRDefault="00E86B5E" w:rsidP="0056799B">
      <w:pPr>
        <w:spacing w:after="93"/>
      </w:pPr>
      <w:r>
        <w:rPr>
          <w:rFonts w:ascii="Arial" w:eastAsia="Arial" w:hAnsi="Arial" w:cs="Arial"/>
          <w:color w:val="586B79"/>
          <w:sz w:val="20"/>
        </w:rPr>
        <w:t xml:space="preserve"> </w:t>
      </w:r>
    </w:p>
    <w:sectPr w:rsidR="00AA54D8">
      <w:pgSz w:w="11899" w:h="16819"/>
      <w:pgMar w:top="1440" w:right="1280" w:bottom="144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D788A"/>
    <w:multiLevelType w:val="hybridMultilevel"/>
    <w:tmpl w:val="55A2B690"/>
    <w:lvl w:ilvl="0" w:tplc="3D6CB1C0">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CD41BEC">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D64D04A">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796087A">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F363794">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9CECC70">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B4E9016">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E564766">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D8E15F4">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5CB70C7"/>
    <w:multiLevelType w:val="hybridMultilevel"/>
    <w:tmpl w:val="917CCDF2"/>
    <w:lvl w:ilvl="0" w:tplc="3626BD4C">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080F270">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13AA1B0">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D9C6A66">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0B80DCC">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BB6B336">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D76D798">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E509358">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C02CAC6">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15C7165"/>
    <w:multiLevelType w:val="hybridMultilevel"/>
    <w:tmpl w:val="07AA715E"/>
    <w:lvl w:ilvl="0" w:tplc="ACEA3338">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09EBD9E">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A2A273E">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2F2B742">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2185442">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E10AE30">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F62F956">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B74419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C488EF6">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4D8"/>
    <w:rsid w:val="0056799B"/>
    <w:rsid w:val="00AA54D8"/>
    <w:rsid w:val="00E86B5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67513"/>
  <w15:docId w15:val="{9535AAF3-3C36-494B-A57B-655F97B4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qFormat/>
    <w:pPr>
      <w:keepNext/>
      <w:keepLines/>
      <w:spacing w:after="75"/>
      <w:ind w:left="10" w:hanging="10"/>
      <w:outlineLvl w:val="0"/>
    </w:pPr>
    <w:rPr>
      <w:rFonts w:ascii="Arial" w:eastAsia="Arial" w:hAnsi="Arial" w:cs="Arial"/>
      <w:b/>
      <w:color w:val="586B7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586B79"/>
      <w:sz w:val="22"/>
    </w:rPr>
  </w:style>
  <w:style w:type="character" w:styleId="Hyperlink">
    <w:name w:val="Hyperlink"/>
    <w:basedOn w:val="Absatz-Standardschriftart"/>
    <w:uiPriority w:val="99"/>
    <w:unhideWhenUsed/>
    <w:rsid w:val="0056799B"/>
    <w:rPr>
      <w:color w:val="0563C1" w:themeColor="hyperlink"/>
      <w:u w:val="single"/>
    </w:rPr>
  </w:style>
  <w:style w:type="character" w:styleId="NichtaufgelsteErwhnung">
    <w:name w:val="Unresolved Mention"/>
    <w:basedOn w:val="Absatz-Standardschriftart"/>
    <w:uiPriority w:val="99"/>
    <w:semiHidden/>
    <w:unhideWhenUsed/>
    <w:rsid w:val="00567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293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lene.feichter@ph-ooe.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1695</Characters>
  <Application>Microsoft Office Word</Application>
  <DocSecurity>0</DocSecurity>
  <Lines>14</Lines>
  <Paragraphs>3</Paragraphs>
  <ScaleCrop>false</ScaleCrop>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Philipp</dc:creator>
  <cp:keywords/>
  <cp:lastModifiedBy>Helene Feichter</cp:lastModifiedBy>
  <cp:revision>2</cp:revision>
  <dcterms:created xsi:type="dcterms:W3CDTF">2021-05-10T10:16:00Z</dcterms:created>
  <dcterms:modified xsi:type="dcterms:W3CDTF">2021-05-10T10:16:00Z</dcterms:modified>
</cp:coreProperties>
</file>